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6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4320"/>
        <w:gridCol w:w="6120"/>
      </w:tblGrid>
      <w:tr w:rsidR="003A2595" w:rsidRPr="0098784F" w:rsidTr="00EE08A3">
        <w:trPr>
          <w:trHeight w:val="817"/>
        </w:trPr>
        <w:tc>
          <w:tcPr>
            <w:tcW w:w="10440" w:type="dxa"/>
            <w:gridSpan w:val="2"/>
            <w:shd w:val="clear" w:color="auto" w:fill="auto"/>
          </w:tcPr>
          <w:p w:rsidR="003A2595" w:rsidRPr="0098784F" w:rsidRDefault="003A2595" w:rsidP="00D66AAB">
            <w:pPr>
              <w:tabs>
                <w:tab w:val="left" w:pos="383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OBRAZAC</w:t>
            </w:r>
          </w:p>
          <w:p w:rsidR="003A2595" w:rsidRPr="0098784F" w:rsidRDefault="003A2595" w:rsidP="00D66A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84F">
              <w:rPr>
                <w:rFonts w:ascii="Times New Roman" w:hAnsi="Times New Roman" w:cs="Times New Roman"/>
                <w:b/>
              </w:rPr>
              <w:t>izvješća o provedenom savjetovanju s javnošću</w:t>
            </w:r>
          </w:p>
          <w:p w:rsidR="003A2595" w:rsidRPr="0098784F" w:rsidRDefault="003A2595" w:rsidP="00D66AAB">
            <w:pPr>
              <w:rPr>
                <w:rFonts w:ascii="Times New Roman" w:hAnsi="Times New Roman" w:cs="Times New Roman"/>
              </w:rPr>
            </w:pPr>
          </w:p>
        </w:tc>
      </w:tr>
      <w:tr w:rsidR="003A2595" w:rsidRPr="002567E6" w:rsidTr="00EE08A3">
        <w:trPr>
          <w:trHeight w:val="500"/>
        </w:trPr>
        <w:tc>
          <w:tcPr>
            <w:tcW w:w="43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2567E6" w:rsidRDefault="003A2595" w:rsidP="00D66AAB">
            <w:pPr>
              <w:rPr>
                <w:rFonts w:ascii="Times New Roman" w:hAnsi="Times New Roman" w:cs="Times New Roman"/>
                <w:b/>
              </w:rPr>
            </w:pPr>
            <w:r w:rsidRPr="002567E6">
              <w:rPr>
                <w:rFonts w:ascii="Times New Roman" w:hAnsi="Times New Roman" w:cs="Times New Roman"/>
                <w:b/>
              </w:rPr>
              <w:t xml:space="preserve">Naziv nacrta odluke ili drugog općeg akta o kojem je savjetovanje provedeno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D449C8" w:rsidRDefault="00054568" w:rsidP="007E4E3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Odluka</w:t>
            </w:r>
            <w:r w:rsidRPr="00054568">
              <w:rPr>
                <w:rFonts w:ascii="Times New Roman" w:hAnsi="Times New Roman" w:cs="Times New Roman"/>
                <w:bCs/>
              </w:rPr>
              <w:t xml:space="preserve"> o određivanju metodologije, nadležne osobe i načina utvrđivanja količine komunalnog </w:t>
            </w:r>
            <w:proofErr w:type="spellStart"/>
            <w:r w:rsidRPr="00054568">
              <w:rPr>
                <w:rFonts w:ascii="Times New Roman" w:hAnsi="Times New Roman" w:cs="Times New Roman"/>
                <w:bCs/>
              </w:rPr>
              <w:t>biootpada</w:t>
            </w:r>
            <w:proofErr w:type="spellEnd"/>
          </w:p>
        </w:tc>
      </w:tr>
      <w:tr w:rsidR="003A2595" w:rsidRPr="002567E6" w:rsidTr="00EE08A3">
        <w:trPr>
          <w:trHeight w:val="932"/>
        </w:trPr>
        <w:tc>
          <w:tcPr>
            <w:tcW w:w="43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2567E6" w:rsidRDefault="003A2595" w:rsidP="00D66AAB">
            <w:pPr>
              <w:rPr>
                <w:rFonts w:ascii="Times New Roman" w:hAnsi="Times New Roman" w:cs="Times New Roman"/>
                <w:b/>
              </w:rPr>
            </w:pPr>
            <w:r w:rsidRPr="002567E6">
              <w:rPr>
                <w:rFonts w:ascii="Times New Roman" w:hAnsi="Times New Roman" w:cs="Times New Roman"/>
                <w:b/>
              </w:rPr>
              <w:t>Nositelj izrade nacrta akta (gradsko upravno tijelo koje je provelo savjetovanje)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2567E6" w:rsidRDefault="00BE5D94" w:rsidP="007E4E33">
            <w:pPr>
              <w:jc w:val="both"/>
              <w:rPr>
                <w:rFonts w:ascii="Times New Roman" w:hAnsi="Times New Roman" w:cs="Times New Roman"/>
              </w:rPr>
            </w:pPr>
            <w:r w:rsidRPr="002567E6">
              <w:rPr>
                <w:rFonts w:ascii="Times New Roman" w:hAnsi="Times New Roman" w:cs="Times New Roman"/>
              </w:rPr>
              <w:t xml:space="preserve">Upravni odjel za </w:t>
            </w:r>
            <w:r w:rsidR="007E4E33">
              <w:rPr>
                <w:rFonts w:ascii="Times New Roman" w:hAnsi="Times New Roman" w:cs="Times New Roman"/>
              </w:rPr>
              <w:t>prostorno planiranje, graditeljstvo</w:t>
            </w:r>
            <w:r w:rsidR="00DD18B4" w:rsidRPr="002567E6">
              <w:rPr>
                <w:rFonts w:ascii="Times New Roman" w:hAnsi="Times New Roman" w:cs="Times New Roman"/>
              </w:rPr>
              <w:t xml:space="preserve"> i zaštitu okoliša</w:t>
            </w:r>
          </w:p>
        </w:tc>
      </w:tr>
      <w:tr w:rsidR="003A2595" w:rsidRPr="002567E6" w:rsidTr="00EE08A3">
        <w:trPr>
          <w:trHeight w:val="561"/>
        </w:trPr>
        <w:tc>
          <w:tcPr>
            <w:tcW w:w="43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7E4E33" w:rsidRDefault="003A2595" w:rsidP="00D66A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4E33">
              <w:rPr>
                <w:rFonts w:ascii="Times New Roman" w:hAnsi="Times New Roman" w:cs="Times New Roman"/>
                <w:b/>
              </w:rPr>
              <w:t>Vrijeme trajanja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7E4E33" w:rsidRDefault="00054568" w:rsidP="00D66A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 14.10.2025. do 13.11</w:t>
            </w:r>
            <w:r w:rsidR="006E6F14">
              <w:rPr>
                <w:rFonts w:ascii="Times New Roman" w:hAnsi="Times New Roman" w:cs="Times New Roman"/>
                <w:shd w:val="clear" w:color="auto" w:fill="FFFFFF"/>
              </w:rPr>
              <w:t>.2025.</w:t>
            </w:r>
          </w:p>
        </w:tc>
      </w:tr>
      <w:tr w:rsidR="003A2595" w:rsidRPr="002567E6" w:rsidTr="00EE08A3">
        <w:trPr>
          <w:trHeight w:val="561"/>
        </w:trPr>
        <w:tc>
          <w:tcPr>
            <w:tcW w:w="432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2595" w:rsidRPr="002567E6" w:rsidRDefault="003A2595" w:rsidP="00D66AA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67E6">
              <w:rPr>
                <w:rFonts w:ascii="Times New Roman" w:hAnsi="Times New Roman" w:cs="Times New Roman"/>
                <w:b/>
              </w:rPr>
              <w:t xml:space="preserve">Metoda savjetovanja 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A2595" w:rsidRPr="002567E6" w:rsidRDefault="000F1A81" w:rsidP="00D66AAB">
            <w:pPr>
              <w:jc w:val="both"/>
              <w:rPr>
                <w:rFonts w:ascii="Times New Roman" w:hAnsi="Times New Roman" w:cs="Times New Roman"/>
              </w:rPr>
            </w:pPr>
            <w:r w:rsidRPr="002567E6">
              <w:rPr>
                <w:rFonts w:ascii="Times New Roman" w:hAnsi="Times New Roman" w:cs="Times New Roman"/>
              </w:rPr>
              <w:t>Internetsko savjetovanje</w:t>
            </w:r>
          </w:p>
        </w:tc>
      </w:tr>
    </w:tbl>
    <w:p w:rsidR="00DC737D" w:rsidRDefault="00DC737D" w:rsidP="00DD18B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eetkatablice"/>
        <w:tblW w:w="10501" w:type="dxa"/>
        <w:tblInd w:w="-61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21"/>
        <w:gridCol w:w="1376"/>
        <w:gridCol w:w="1219"/>
        <w:gridCol w:w="2914"/>
        <w:gridCol w:w="3271"/>
      </w:tblGrid>
      <w:tr w:rsidR="00406D42" w:rsidTr="00EE08A3">
        <w:tc>
          <w:tcPr>
            <w:tcW w:w="1721" w:type="dxa"/>
          </w:tcPr>
          <w:p w:rsidR="0032695A" w:rsidRPr="00B81A3A" w:rsidRDefault="0032695A" w:rsidP="00434A4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7"/>
              <w:gridCol w:w="222"/>
              <w:gridCol w:w="222"/>
              <w:gridCol w:w="222"/>
              <w:gridCol w:w="222"/>
            </w:tblGrid>
            <w:tr w:rsidR="0032695A" w:rsidRPr="00B81A3A" w:rsidTr="00434A4B">
              <w:trPr>
                <w:trHeight w:val="645"/>
              </w:trPr>
              <w:tc>
                <w:tcPr>
                  <w:tcW w:w="0" w:type="auto"/>
                </w:tcPr>
                <w:p w:rsidR="0032695A" w:rsidRPr="00B81A3A" w:rsidRDefault="0032695A" w:rsidP="00434A4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B81A3A">
                    <w:rPr>
                      <w:color w:val="000000"/>
                    </w:rPr>
                    <w:t xml:space="preserve"> Red. br. </w:t>
                  </w:r>
                </w:p>
              </w:tc>
              <w:tc>
                <w:tcPr>
                  <w:tcW w:w="0" w:type="auto"/>
                </w:tcPr>
                <w:p w:rsidR="0032695A" w:rsidRPr="00B81A3A" w:rsidRDefault="0032695A" w:rsidP="00434A4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32695A" w:rsidRPr="00B81A3A" w:rsidRDefault="0032695A" w:rsidP="00434A4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32695A" w:rsidRPr="00B81A3A" w:rsidRDefault="0032695A" w:rsidP="00434A4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32695A" w:rsidRPr="00B81A3A" w:rsidRDefault="0032695A" w:rsidP="00434A4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</w:tbl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76" w:type="dxa"/>
          </w:tcPr>
          <w:p w:rsidR="0032695A" w:rsidRPr="00B81A3A" w:rsidRDefault="0032695A" w:rsidP="00434A4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81A3A">
              <w:rPr>
                <w:color w:val="000000"/>
              </w:rPr>
              <w:t xml:space="preserve">Predstavnici javnosti (pojedinac, organizacija, institucija) </w:t>
            </w:r>
          </w:p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19" w:type="dxa"/>
          </w:tcPr>
          <w:p w:rsidR="0032695A" w:rsidRPr="00B81A3A" w:rsidRDefault="0032695A" w:rsidP="00434A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81A3A">
              <w:rPr>
                <w:color w:val="000000"/>
              </w:rPr>
              <w:t xml:space="preserve">Članak na koji se odnosi primjedba/ </w:t>
            </w:r>
          </w:p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  <w:r w:rsidRPr="00B81A3A">
              <w:rPr>
                <w:color w:val="000000"/>
              </w:rPr>
              <w:t>prijedlog</w:t>
            </w:r>
          </w:p>
        </w:tc>
        <w:tc>
          <w:tcPr>
            <w:tcW w:w="2914" w:type="dxa"/>
          </w:tcPr>
          <w:p w:rsidR="0032695A" w:rsidRPr="00B81A3A" w:rsidRDefault="0032695A" w:rsidP="00434A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81A3A">
              <w:rPr>
                <w:color w:val="000000"/>
              </w:rPr>
              <w:t xml:space="preserve">Tekst primjedbe/ </w:t>
            </w:r>
          </w:p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  <w:r w:rsidRPr="00B81A3A">
              <w:rPr>
                <w:color w:val="000000"/>
              </w:rPr>
              <w:t>prijedloga</w:t>
            </w:r>
          </w:p>
        </w:tc>
        <w:tc>
          <w:tcPr>
            <w:tcW w:w="3271" w:type="dxa"/>
          </w:tcPr>
          <w:p w:rsidR="0032695A" w:rsidRPr="00B81A3A" w:rsidRDefault="0032695A" w:rsidP="00434A4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B81A3A">
              <w:rPr>
                <w:color w:val="000000"/>
              </w:rPr>
              <w:t xml:space="preserve">Prihvaćanje/ neprihvaćanje primjedbe/ prijedloga sa obrazloženjem </w:t>
            </w:r>
          </w:p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</w:tc>
      </w:tr>
      <w:tr w:rsidR="00406D42" w:rsidTr="00EE08A3">
        <w:tc>
          <w:tcPr>
            <w:tcW w:w="1721" w:type="dxa"/>
          </w:tcPr>
          <w:p w:rsidR="0032695A" w:rsidRPr="00B81A3A" w:rsidRDefault="0032695A" w:rsidP="00434A4B">
            <w:pPr>
              <w:jc w:val="center"/>
              <w:rPr>
                <w:bCs/>
                <w:color w:val="000000"/>
              </w:rPr>
            </w:pPr>
            <w:r w:rsidRPr="00B81A3A">
              <w:rPr>
                <w:bCs/>
                <w:color w:val="000000"/>
              </w:rPr>
              <w:t>1.</w:t>
            </w:r>
          </w:p>
        </w:tc>
        <w:tc>
          <w:tcPr>
            <w:tcW w:w="1376" w:type="dxa"/>
          </w:tcPr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Zoran Lovrić</w:t>
            </w:r>
          </w:p>
        </w:tc>
        <w:tc>
          <w:tcPr>
            <w:tcW w:w="1219" w:type="dxa"/>
          </w:tcPr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Članak 7.</w:t>
            </w:r>
          </w:p>
        </w:tc>
        <w:tc>
          <w:tcPr>
            <w:tcW w:w="2914" w:type="dxa"/>
          </w:tcPr>
          <w:p w:rsidR="0032695A" w:rsidRDefault="0032695A" w:rsidP="0032695A">
            <w:pPr>
              <w:ind w:left="720"/>
              <w:jc w:val="both"/>
              <w:rPr>
                <w:bCs/>
                <w:color w:val="000000"/>
              </w:rPr>
            </w:pPr>
            <w:r w:rsidRPr="0032695A">
              <w:rPr>
                <w:bCs/>
                <w:color w:val="000000"/>
              </w:rPr>
              <w:t xml:space="preserve">U članku 7. dodati obvezu VG Čistoće da jednom godišnje javno objavi sažetak podataka o količinama odvojeno prikupljenog i </w:t>
            </w:r>
            <w:proofErr w:type="spellStart"/>
            <w:r w:rsidRPr="0032695A">
              <w:rPr>
                <w:bCs/>
                <w:color w:val="000000"/>
              </w:rPr>
              <w:t>kompostiranog</w:t>
            </w:r>
            <w:proofErr w:type="spellEnd"/>
            <w:r w:rsidRPr="0032695A">
              <w:rPr>
                <w:bCs/>
                <w:color w:val="000000"/>
              </w:rPr>
              <w:t xml:space="preserve"> </w:t>
            </w:r>
            <w:proofErr w:type="spellStart"/>
            <w:r w:rsidRPr="0032695A">
              <w:rPr>
                <w:bCs/>
                <w:color w:val="000000"/>
              </w:rPr>
              <w:t>biootpada</w:t>
            </w:r>
            <w:proofErr w:type="spellEnd"/>
            <w:r w:rsidRPr="0032695A">
              <w:rPr>
                <w:bCs/>
                <w:color w:val="000000"/>
              </w:rPr>
              <w:t xml:space="preserve"> po zonama (urbano/ruralno) na mrežnim stranicama Grada i VG Čistoće.</w:t>
            </w:r>
          </w:p>
          <w:p w:rsidR="0032695A" w:rsidRPr="0032695A" w:rsidRDefault="0032695A" w:rsidP="0032695A">
            <w:pPr>
              <w:ind w:left="720"/>
              <w:jc w:val="both"/>
              <w:rPr>
                <w:bCs/>
                <w:color w:val="000000"/>
              </w:rPr>
            </w:pPr>
          </w:p>
          <w:p w:rsidR="0032695A" w:rsidRPr="00B81A3A" w:rsidRDefault="0032695A" w:rsidP="0032695A">
            <w:pPr>
              <w:rPr>
                <w:bCs/>
                <w:color w:val="000000"/>
              </w:rPr>
            </w:pPr>
          </w:p>
        </w:tc>
        <w:tc>
          <w:tcPr>
            <w:tcW w:w="3271" w:type="dxa"/>
          </w:tcPr>
          <w:p w:rsidR="0032695A" w:rsidRDefault="00406D42" w:rsidP="0032695A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Prijedlog</w:t>
            </w:r>
            <w:r w:rsidR="005E6782">
              <w:rPr>
                <w:bCs/>
                <w:color w:val="000000"/>
              </w:rPr>
              <w:t xml:space="preserve"> se ne prihvaća.</w:t>
            </w:r>
          </w:p>
          <w:p w:rsidR="00EE08A3" w:rsidRPr="00EE08A3" w:rsidRDefault="00EE08A3" w:rsidP="00EE08A3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VG Čistoća d.o.o.</w:t>
            </w:r>
            <w:r w:rsidRPr="00EE08A3">
              <w:rPr>
                <w:bCs/>
                <w:color w:val="000000"/>
              </w:rPr>
              <w:t xml:space="preserve"> obvezna</w:t>
            </w:r>
            <w:r>
              <w:rPr>
                <w:bCs/>
                <w:color w:val="000000"/>
              </w:rPr>
              <w:t xml:space="preserve"> je</w:t>
            </w:r>
            <w:r w:rsidRPr="00EE08A3">
              <w:rPr>
                <w:bCs/>
                <w:color w:val="000000"/>
              </w:rPr>
              <w:t xml:space="preserve"> dostavljati Gradskom vijeću redovita godišnja izvješća o količinama prikupljenog otpada, uključujući </w:t>
            </w:r>
            <w:proofErr w:type="spellStart"/>
            <w:r w:rsidRPr="00EE08A3">
              <w:rPr>
                <w:bCs/>
                <w:color w:val="000000"/>
              </w:rPr>
              <w:t>biootpad</w:t>
            </w:r>
            <w:proofErr w:type="spellEnd"/>
            <w:r w:rsidRPr="00EE08A3">
              <w:rPr>
                <w:bCs/>
                <w:color w:val="000000"/>
              </w:rPr>
              <w:t>.</w:t>
            </w:r>
            <w:r w:rsidRPr="00EE08A3">
              <w:rPr>
                <w:bCs/>
                <w:color w:val="000000"/>
              </w:rPr>
              <w:br/>
              <w:t>Ta je obveza propisana čl. 34. Odluke o načinu pružanja javne usluge sakupljanja komunalnog otpada na području Grada Velike Gorice od 9. listopada 2025. godine (KLASA: 024-01/2025-04/81, URBROJ: 238-31-02-2025-1).</w:t>
            </w:r>
          </w:p>
          <w:p w:rsidR="00EE08A3" w:rsidRPr="00EE08A3" w:rsidRDefault="00EE08A3" w:rsidP="00EE08A3">
            <w:pPr>
              <w:jc w:val="both"/>
              <w:rPr>
                <w:bCs/>
                <w:color w:val="000000"/>
              </w:rPr>
            </w:pPr>
            <w:r w:rsidRPr="00EE08A3">
              <w:rPr>
                <w:bCs/>
                <w:color w:val="000000"/>
              </w:rPr>
              <w:t xml:space="preserve">Navedena izvješća sadržavaju sve relevantne podatke, a budući da se dostavljaju Gradskom vijeću, predstavljaju javno dostupan dokument. Stoga se informacija o količinama odvojeno prikupljenog i </w:t>
            </w:r>
            <w:proofErr w:type="spellStart"/>
            <w:r w:rsidRPr="00EE08A3">
              <w:rPr>
                <w:bCs/>
                <w:color w:val="000000"/>
              </w:rPr>
              <w:t>kompostiranog</w:t>
            </w:r>
            <w:proofErr w:type="spellEnd"/>
            <w:r w:rsidRPr="00EE08A3">
              <w:rPr>
                <w:bCs/>
                <w:color w:val="000000"/>
              </w:rPr>
              <w:t xml:space="preserve"> </w:t>
            </w:r>
            <w:proofErr w:type="spellStart"/>
            <w:r w:rsidRPr="00EE08A3">
              <w:rPr>
                <w:bCs/>
                <w:color w:val="000000"/>
              </w:rPr>
              <w:t>biootpada</w:t>
            </w:r>
            <w:proofErr w:type="spellEnd"/>
            <w:r w:rsidRPr="00EE08A3">
              <w:rPr>
                <w:bCs/>
                <w:color w:val="000000"/>
              </w:rPr>
              <w:t xml:space="preserve"> već nalazi u sustavu javnih podataka.</w:t>
            </w:r>
          </w:p>
          <w:p w:rsidR="005E6782" w:rsidRPr="00B81A3A" w:rsidRDefault="005E6782" w:rsidP="0032695A">
            <w:pPr>
              <w:jc w:val="both"/>
              <w:rPr>
                <w:bCs/>
                <w:color w:val="000000"/>
              </w:rPr>
            </w:pPr>
          </w:p>
        </w:tc>
      </w:tr>
      <w:tr w:rsidR="00406D42" w:rsidTr="00EE08A3">
        <w:trPr>
          <w:trHeight w:val="2798"/>
        </w:trPr>
        <w:tc>
          <w:tcPr>
            <w:tcW w:w="1721" w:type="dxa"/>
          </w:tcPr>
          <w:p w:rsidR="0032695A" w:rsidRDefault="0032695A" w:rsidP="00434A4B">
            <w:pPr>
              <w:jc w:val="both"/>
              <w:rPr>
                <w:bCs/>
                <w:color w:val="000000"/>
              </w:rPr>
            </w:pPr>
          </w:p>
          <w:p w:rsidR="0032695A" w:rsidRPr="0032695A" w:rsidRDefault="0032695A" w:rsidP="0032695A"/>
          <w:p w:rsidR="0032695A" w:rsidRPr="0032695A" w:rsidRDefault="0032695A" w:rsidP="0032695A"/>
          <w:p w:rsidR="0032695A" w:rsidRPr="0032695A" w:rsidRDefault="0032695A" w:rsidP="0032695A"/>
          <w:p w:rsidR="0032695A" w:rsidRPr="0032695A" w:rsidRDefault="0032695A" w:rsidP="0032695A">
            <w:pPr>
              <w:jc w:val="center"/>
            </w:pPr>
          </w:p>
        </w:tc>
        <w:tc>
          <w:tcPr>
            <w:tcW w:w="1376" w:type="dxa"/>
          </w:tcPr>
          <w:p w:rsidR="0032695A" w:rsidRDefault="0032695A" w:rsidP="00434A4B">
            <w:pPr>
              <w:jc w:val="both"/>
              <w:rPr>
                <w:bCs/>
                <w:color w:val="000000"/>
              </w:rPr>
            </w:pPr>
          </w:p>
          <w:p w:rsidR="0032695A" w:rsidRPr="0032695A" w:rsidRDefault="0032695A" w:rsidP="0032695A"/>
          <w:p w:rsidR="0032695A" w:rsidRPr="0032695A" w:rsidRDefault="0032695A" w:rsidP="0032695A"/>
          <w:p w:rsidR="0032695A" w:rsidRPr="0032695A" w:rsidRDefault="0032695A" w:rsidP="0032695A"/>
          <w:p w:rsidR="0032695A" w:rsidRDefault="0032695A" w:rsidP="0032695A"/>
          <w:p w:rsidR="0032695A" w:rsidRDefault="0032695A" w:rsidP="0032695A"/>
          <w:p w:rsidR="0032695A" w:rsidRPr="0032695A" w:rsidRDefault="0032695A" w:rsidP="0032695A">
            <w:pPr>
              <w:jc w:val="center"/>
            </w:pPr>
          </w:p>
        </w:tc>
        <w:tc>
          <w:tcPr>
            <w:tcW w:w="1219" w:type="dxa"/>
          </w:tcPr>
          <w:p w:rsidR="0032695A" w:rsidRPr="0032695A" w:rsidRDefault="0032695A" w:rsidP="0032695A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Članak 4</w:t>
            </w:r>
            <w:r w:rsidRPr="00B81A3A">
              <w:rPr>
                <w:bCs/>
                <w:color w:val="000000"/>
              </w:rPr>
              <w:t>.</w:t>
            </w:r>
          </w:p>
        </w:tc>
        <w:tc>
          <w:tcPr>
            <w:tcW w:w="2914" w:type="dxa"/>
          </w:tcPr>
          <w:p w:rsidR="0032695A" w:rsidRPr="0032695A" w:rsidRDefault="0032695A" w:rsidP="00EE08A3">
            <w:pPr>
              <w:shd w:val="clear" w:color="auto" w:fill="FFFFFF"/>
              <w:ind w:left="720"/>
              <w:jc w:val="both"/>
            </w:pPr>
            <w:r w:rsidRPr="0032695A">
              <w:t xml:space="preserve">U članku 4. propisati uspostavu </w:t>
            </w:r>
            <w:r w:rsidRPr="0032695A">
              <w:rPr>
                <w:bCs/>
              </w:rPr>
              <w:t xml:space="preserve">evidencije korisnika koji </w:t>
            </w:r>
            <w:proofErr w:type="spellStart"/>
            <w:r w:rsidRPr="0032695A">
              <w:rPr>
                <w:bCs/>
              </w:rPr>
              <w:t>kompostiraju</w:t>
            </w:r>
            <w:proofErr w:type="spellEnd"/>
            <w:r w:rsidRPr="0032695A">
              <w:rPr>
                <w:bCs/>
              </w:rPr>
              <w:t xml:space="preserve"> </w:t>
            </w:r>
            <w:proofErr w:type="spellStart"/>
            <w:r w:rsidRPr="0032695A">
              <w:rPr>
                <w:bCs/>
              </w:rPr>
              <w:t>biootpad</w:t>
            </w:r>
            <w:proofErr w:type="spellEnd"/>
            <w:r w:rsidRPr="0032695A">
              <w:t xml:space="preserve"> putem godišnje prijave ili digitalnog obrasca, uz mogućnost pot</w:t>
            </w:r>
            <w:r>
              <w:t>icaja za sudjelovanje u sustavu</w:t>
            </w:r>
            <w:r w:rsidR="005E6782">
              <w:t>.</w:t>
            </w:r>
          </w:p>
        </w:tc>
        <w:tc>
          <w:tcPr>
            <w:tcW w:w="3271" w:type="dxa"/>
          </w:tcPr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  <w:p w:rsidR="00EE08A3" w:rsidRDefault="00EE08A3" w:rsidP="00EE08A3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Prijedlog se ne prihvaća.</w:t>
            </w:r>
          </w:p>
          <w:p w:rsidR="00EE08A3" w:rsidRPr="00EE08A3" w:rsidRDefault="00EE08A3" w:rsidP="00EE08A3">
            <w:pPr>
              <w:jc w:val="both"/>
              <w:rPr>
                <w:bCs/>
                <w:color w:val="000000"/>
              </w:rPr>
            </w:pPr>
            <w:r w:rsidRPr="00EE08A3">
              <w:rPr>
                <w:bCs/>
                <w:color w:val="000000"/>
              </w:rPr>
              <w:t>VG Čistoća</w:t>
            </w:r>
            <w:r>
              <w:rPr>
                <w:bCs/>
                <w:color w:val="000000"/>
              </w:rPr>
              <w:t xml:space="preserve"> d.o.o.</w:t>
            </w:r>
            <w:r w:rsidRPr="00EE08A3">
              <w:rPr>
                <w:bCs/>
                <w:color w:val="000000"/>
              </w:rPr>
              <w:t xml:space="preserve"> vod</w:t>
            </w:r>
            <w:bookmarkStart w:id="0" w:name="_GoBack"/>
            <w:bookmarkEnd w:id="0"/>
            <w:r w:rsidRPr="00EE08A3">
              <w:rPr>
                <w:bCs/>
                <w:color w:val="000000"/>
              </w:rPr>
              <w:t xml:space="preserve">i službenu internu evidenciju korisnika koji </w:t>
            </w:r>
            <w:proofErr w:type="spellStart"/>
            <w:r w:rsidRPr="00EE08A3">
              <w:rPr>
                <w:bCs/>
                <w:color w:val="000000"/>
              </w:rPr>
              <w:t>kompostiraju</w:t>
            </w:r>
            <w:proofErr w:type="spellEnd"/>
            <w:r w:rsidRPr="00EE08A3">
              <w:rPr>
                <w:bCs/>
                <w:color w:val="000000"/>
              </w:rPr>
              <w:t xml:space="preserve"> </w:t>
            </w:r>
            <w:proofErr w:type="spellStart"/>
            <w:r w:rsidRPr="00EE08A3">
              <w:rPr>
                <w:bCs/>
                <w:color w:val="000000"/>
              </w:rPr>
              <w:t>biootpad</w:t>
            </w:r>
            <w:proofErr w:type="spellEnd"/>
            <w:r w:rsidRPr="00EE08A3">
              <w:rPr>
                <w:bCs/>
                <w:color w:val="000000"/>
              </w:rPr>
              <w:t xml:space="preserve"> u kućanstvima, što je potrebno za izračun količina komunalnog </w:t>
            </w:r>
            <w:proofErr w:type="spellStart"/>
            <w:r w:rsidRPr="00EE08A3">
              <w:rPr>
                <w:bCs/>
                <w:color w:val="000000"/>
              </w:rPr>
              <w:t>biootpada</w:t>
            </w:r>
            <w:proofErr w:type="spellEnd"/>
            <w:r w:rsidRPr="00EE08A3">
              <w:rPr>
                <w:bCs/>
                <w:color w:val="000000"/>
              </w:rPr>
              <w:t xml:space="preserve"> koji se reciklira na izvoru.</w:t>
            </w:r>
            <w:r w:rsidRPr="00EE08A3">
              <w:rPr>
                <w:bCs/>
                <w:color w:val="000000"/>
              </w:rPr>
              <w:br/>
              <w:t>S obzirom na propise o zaštiti osobnih podataka (GDPR), takva evidencija ne može biti javno objavljena u obliku koji sadrži osobne podatke ili identifikacijske informacije o pojedinačnim korisnicima.</w:t>
            </w:r>
          </w:p>
          <w:p w:rsidR="00EE08A3" w:rsidRPr="00EE08A3" w:rsidRDefault="00EE08A3" w:rsidP="00EE08A3">
            <w:pPr>
              <w:jc w:val="both"/>
              <w:rPr>
                <w:bCs/>
                <w:color w:val="000000"/>
              </w:rPr>
            </w:pPr>
            <w:r w:rsidRPr="00EE08A3">
              <w:rPr>
                <w:bCs/>
                <w:color w:val="000000"/>
              </w:rPr>
              <w:t xml:space="preserve">Međutim, moguće je i dopušteno objavljivati agregirane podatke, odnosno ukupan broj korisnika koji </w:t>
            </w:r>
            <w:proofErr w:type="spellStart"/>
            <w:r w:rsidRPr="00EE08A3">
              <w:rPr>
                <w:bCs/>
                <w:color w:val="000000"/>
              </w:rPr>
              <w:t>kompostiraju</w:t>
            </w:r>
            <w:proofErr w:type="spellEnd"/>
            <w:r w:rsidRPr="00EE08A3">
              <w:rPr>
                <w:bCs/>
                <w:color w:val="000000"/>
              </w:rPr>
              <w:t>, bez navođenja njihovih imena ili adresa. Iz tog razloga nije potrebno uvoditi novu obvezu godišnje prijave putem obrasca, budući da se sustav evidentiranja već p</w:t>
            </w:r>
            <w:r>
              <w:rPr>
                <w:bCs/>
                <w:color w:val="000000"/>
              </w:rPr>
              <w:t>rovodi.</w:t>
            </w:r>
          </w:p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</w:tc>
      </w:tr>
      <w:tr w:rsidR="00406D42" w:rsidTr="00EE08A3">
        <w:tc>
          <w:tcPr>
            <w:tcW w:w="1721" w:type="dxa"/>
          </w:tcPr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376" w:type="dxa"/>
          </w:tcPr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19" w:type="dxa"/>
          </w:tcPr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Članak 6</w:t>
            </w:r>
            <w:r w:rsidRPr="00B81A3A">
              <w:rPr>
                <w:bCs/>
                <w:color w:val="000000"/>
              </w:rPr>
              <w:t>.</w:t>
            </w:r>
          </w:p>
        </w:tc>
        <w:tc>
          <w:tcPr>
            <w:tcW w:w="2914" w:type="dxa"/>
          </w:tcPr>
          <w:p w:rsidR="0032695A" w:rsidRPr="005E6782" w:rsidRDefault="0032695A" w:rsidP="0032695A">
            <w:pPr>
              <w:spacing w:after="5" w:line="251" w:lineRule="auto"/>
              <w:ind w:left="720" w:right="14"/>
              <w:jc w:val="both"/>
              <w:rPr>
                <w:bCs/>
              </w:rPr>
            </w:pPr>
            <w:r w:rsidRPr="005E6782">
              <w:rPr>
                <w:bCs/>
              </w:rPr>
              <w:t xml:space="preserve">Iza članka 6. dodati novi članak kojim se Grad Velika Gorica i VG Čistoća obvezuju na provedbu edukativno-informativnih aktivnosti o pravilnom odvajanju i </w:t>
            </w:r>
            <w:proofErr w:type="spellStart"/>
            <w:r w:rsidRPr="005E6782">
              <w:rPr>
                <w:bCs/>
              </w:rPr>
              <w:t>kompostiranju</w:t>
            </w:r>
            <w:proofErr w:type="spellEnd"/>
            <w:r w:rsidRPr="005E6782">
              <w:rPr>
                <w:bCs/>
              </w:rPr>
              <w:t xml:space="preserve"> </w:t>
            </w:r>
            <w:proofErr w:type="spellStart"/>
            <w:r w:rsidRPr="005E6782">
              <w:rPr>
                <w:bCs/>
              </w:rPr>
              <w:t>biootpada</w:t>
            </w:r>
            <w:proofErr w:type="spellEnd"/>
            <w:r w:rsidRPr="005E6782">
              <w:rPr>
                <w:bCs/>
              </w:rPr>
              <w:t xml:space="preserve"> (radionice, terenske akcije, informativni materijali).</w:t>
            </w:r>
          </w:p>
          <w:p w:rsidR="0032695A" w:rsidRPr="0032695A" w:rsidRDefault="0032695A" w:rsidP="0032695A">
            <w:pPr>
              <w:spacing w:after="5" w:line="251" w:lineRule="auto"/>
              <w:ind w:left="720" w:right="14"/>
              <w:jc w:val="both"/>
              <w:rPr>
                <w:bCs/>
              </w:rPr>
            </w:pPr>
          </w:p>
          <w:p w:rsidR="0032695A" w:rsidRPr="00FE4910" w:rsidRDefault="0032695A" w:rsidP="0032695A">
            <w:pPr>
              <w:spacing w:after="5" w:line="251" w:lineRule="auto"/>
              <w:ind w:right="14"/>
              <w:jc w:val="both"/>
              <w:rPr>
                <w:bCs/>
              </w:rPr>
            </w:pPr>
          </w:p>
        </w:tc>
        <w:tc>
          <w:tcPr>
            <w:tcW w:w="3271" w:type="dxa"/>
          </w:tcPr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  <w:p w:rsidR="0032695A" w:rsidRDefault="00EE08A3" w:rsidP="00434A4B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Prijedlog se ne prihvaća.</w:t>
            </w:r>
          </w:p>
          <w:p w:rsidR="00EE08A3" w:rsidRPr="00EE08A3" w:rsidRDefault="00EE08A3" w:rsidP="00EE08A3">
            <w:pPr>
              <w:jc w:val="both"/>
              <w:rPr>
                <w:bCs/>
                <w:color w:val="000000"/>
              </w:rPr>
            </w:pPr>
            <w:r w:rsidRPr="00EE08A3">
              <w:rPr>
                <w:bCs/>
                <w:color w:val="000000"/>
              </w:rPr>
              <w:t>Grad Velika Gorica i VG Čistoća</w:t>
            </w:r>
            <w:r>
              <w:rPr>
                <w:bCs/>
                <w:color w:val="000000"/>
              </w:rPr>
              <w:t xml:space="preserve"> d.o.o.</w:t>
            </w:r>
            <w:r w:rsidRPr="00EE08A3">
              <w:rPr>
                <w:bCs/>
                <w:color w:val="000000"/>
              </w:rPr>
              <w:t xml:space="preserve"> već su, temeljem zakona i općih akata koji uređuju postupanje s komunalnim otpadom, obvezni provoditi edukativne i informativne aktivnosti vezane uz pravilno odvajanje otpada, uključujući </w:t>
            </w:r>
            <w:proofErr w:type="spellStart"/>
            <w:r w:rsidRPr="00EE08A3">
              <w:rPr>
                <w:bCs/>
                <w:color w:val="000000"/>
              </w:rPr>
              <w:t>biootpad</w:t>
            </w:r>
            <w:proofErr w:type="spellEnd"/>
            <w:r w:rsidRPr="00EE08A3">
              <w:rPr>
                <w:bCs/>
                <w:color w:val="000000"/>
              </w:rPr>
              <w:t xml:space="preserve"> i kućno </w:t>
            </w:r>
            <w:proofErr w:type="spellStart"/>
            <w:r w:rsidRPr="00EE08A3">
              <w:rPr>
                <w:bCs/>
                <w:color w:val="000000"/>
              </w:rPr>
              <w:t>kompostiranje</w:t>
            </w:r>
            <w:proofErr w:type="spellEnd"/>
            <w:r w:rsidRPr="00EE08A3">
              <w:rPr>
                <w:bCs/>
                <w:color w:val="000000"/>
              </w:rPr>
              <w:t>.</w:t>
            </w:r>
          </w:p>
          <w:p w:rsidR="00EE08A3" w:rsidRPr="00EE08A3" w:rsidRDefault="00EE08A3" w:rsidP="00EE08A3">
            <w:pPr>
              <w:jc w:val="both"/>
              <w:rPr>
                <w:bCs/>
                <w:color w:val="000000"/>
              </w:rPr>
            </w:pPr>
            <w:r w:rsidRPr="00EE08A3">
              <w:rPr>
                <w:bCs/>
                <w:color w:val="000000"/>
              </w:rPr>
              <w:t>Radi se o redovitim aktivnostima koje se provode</w:t>
            </w:r>
            <w:r>
              <w:rPr>
                <w:bCs/>
                <w:color w:val="000000"/>
              </w:rPr>
              <w:t xml:space="preserve"> izvan okvira ove Odluke.</w:t>
            </w:r>
            <w:r>
              <w:rPr>
                <w:bCs/>
                <w:color w:val="000000"/>
              </w:rPr>
              <w:br/>
            </w:r>
            <w:r w:rsidRPr="00EE08A3">
              <w:rPr>
                <w:bCs/>
                <w:color w:val="000000"/>
              </w:rPr>
              <w:t>Zbog toga nije potrebno niti svrhovito u ovoj Odluci uvoditi dodatnu odredbu o edukaciji, budući da su takve obveze već propisane drugim aktima i provode se kontinuirano.</w:t>
            </w:r>
          </w:p>
          <w:p w:rsidR="0032695A" w:rsidRPr="00B81A3A" w:rsidRDefault="0032695A" w:rsidP="00434A4B">
            <w:pPr>
              <w:jc w:val="both"/>
              <w:rPr>
                <w:bCs/>
                <w:color w:val="000000"/>
              </w:rPr>
            </w:pPr>
          </w:p>
        </w:tc>
      </w:tr>
    </w:tbl>
    <w:p w:rsidR="0032695A" w:rsidRPr="00D449C8" w:rsidRDefault="0032695A" w:rsidP="00DD18B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32695A" w:rsidRPr="00D449C8" w:rsidSect="00BC2B6A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217" w:rsidRDefault="00444217" w:rsidP="0062084F">
      <w:pPr>
        <w:spacing w:after="0" w:line="240" w:lineRule="auto"/>
      </w:pPr>
      <w:r>
        <w:separator/>
      </w:r>
    </w:p>
  </w:endnote>
  <w:endnote w:type="continuationSeparator" w:id="0">
    <w:p w:rsidR="00444217" w:rsidRDefault="00444217" w:rsidP="0062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217" w:rsidRDefault="00444217" w:rsidP="0062084F">
      <w:pPr>
        <w:spacing w:after="0" w:line="240" w:lineRule="auto"/>
      </w:pPr>
      <w:r>
        <w:separator/>
      </w:r>
    </w:p>
  </w:footnote>
  <w:footnote w:type="continuationSeparator" w:id="0">
    <w:p w:rsidR="00444217" w:rsidRDefault="00444217" w:rsidP="0062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04093"/>
      <w:docPartObj>
        <w:docPartGallery w:val="Page Numbers (Top of Page)"/>
        <w:docPartUnique/>
      </w:docPartObj>
    </w:sdtPr>
    <w:sdtEndPr/>
    <w:sdtContent>
      <w:p w:rsidR="007A4178" w:rsidRDefault="002F3E0F">
        <w:pPr>
          <w:pStyle w:val="Zaglavlje"/>
          <w:jc w:val="right"/>
        </w:pPr>
        <w:r>
          <w:fldChar w:fldCharType="begin"/>
        </w:r>
        <w:r w:rsidR="007A4178">
          <w:instrText>PAGE   \* MERGEFORMAT</w:instrText>
        </w:r>
        <w:r>
          <w:fldChar w:fldCharType="separate"/>
        </w:r>
        <w:r w:rsidR="00EE08A3">
          <w:rPr>
            <w:noProof/>
          </w:rPr>
          <w:t>2</w:t>
        </w:r>
        <w:r>
          <w:fldChar w:fldCharType="end"/>
        </w:r>
      </w:p>
    </w:sdtContent>
  </w:sdt>
  <w:p w:rsidR="007A4178" w:rsidRDefault="007A417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41886"/>
    <w:multiLevelType w:val="hybridMultilevel"/>
    <w:tmpl w:val="42006102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E045C"/>
    <w:multiLevelType w:val="hybridMultilevel"/>
    <w:tmpl w:val="C21AE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3AC6"/>
    <w:multiLevelType w:val="multilevel"/>
    <w:tmpl w:val="15D02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2C4F60"/>
    <w:multiLevelType w:val="multilevel"/>
    <w:tmpl w:val="D37A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1D6AC6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44854"/>
    <w:multiLevelType w:val="hybridMultilevel"/>
    <w:tmpl w:val="F45E7CD8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80A1A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E1F1C"/>
    <w:multiLevelType w:val="hybridMultilevel"/>
    <w:tmpl w:val="7602A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32B11"/>
    <w:multiLevelType w:val="multilevel"/>
    <w:tmpl w:val="B83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6410DE"/>
    <w:multiLevelType w:val="hybridMultilevel"/>
    <w:tmpl w:val="72908870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B6"/>
    <w:rsid w:val="000011DC"/>
    <w:rsid w:val="00003D92"/>
    <w:rsid w:val="00005F8C"/>
    <w:rsid w:val="00007FCA"/>
    <w:rsid w:val="000168C9"/>
    <w:rsid w:val="00023641"/>
    <w:rsid w:val="00032223"/>
    <w:rsid w:val="00040796"/>
    <w:rsid w:val="00054568"/>
    <w:rsid w:val="000715FD"/>
    <w:rsid w:val="0007380C"/>
    <w:rsid w:val="000850A2"/>
    <w:rsid w:val="0008661E"/>
    <w:rsid w:val="00090090"/>
    <w:rsid w:val="00091B06"/>
    <w:rsid w:val="00093857"/>
    <w:rsid w:val="000A7263"/>
    <w:rsid w:val="000B2D7A"/>
    <w:rsid w:val="000B2EA7"/>
    <w:rsid w:val="000C193A"/>
    <w:rsid w:val="000C4308"/>
    <w:rsid w:val="000C61F8"/>
    <w:rsid w:val="000E3167"/>
    <w:rsid w:val="000E34B4"/>
    <w:rsid w:val="000E422C"/>
    <w:rsid w:val="000E61CD"/>
    <w:rsid w:val="000E6F74"/>
    <w:rsid w:val="000F1906"/>
    <w:rsid w:val="000F1A81"/>
    <w:rsid w:val="0010053C"/>
    <w:rsid w:val="00107124"/>
    <w:rsid w:val="00107382"/>
    <w:rsid w:val="00115FF6"/>
    <w:rsid w:val="00117983"/>
    <w:rsid w:val="0012756B"/>
    <w:rsid w:val="00133097"/>
    <w:rsid w:val="00133D69"/>
    <w:rsid w:val="00137C30"/>
    <w:rsid w:val="0014419E"/>
    <w:rsid w:val="001451E5"/>
    <w:rsid w:val="0014576A"/>
    <w:rsid w:val="0015026E"/>
    <w:rsid w:val="001536B0"/>
    <w:rsid w:val="001606D1"/>
    <w:rsid w:val="00170EF5"/>
    <w:rsid w:val="00180858"/>
    <w:rsid w:val="0018226F"/>
    <w:rsid w:val="00186E10"/>
    <w:rsid w:val="001924B7"/>
    <w:rsid w:val="00192D6B"/>
    <w:rsid w:val="001A144D"/>
    <w:rsid w:val="001A1B2D"/>
    <w:rsid w:val="001A20CC"/>
    <w:rsid w:val="001A3F96"/>
    <w:rsid w:val="001B1833"/>
    <w:rsid w:val="001B6DB3"/>
    <w:rsid w:val="001C2CD7"/>
    <w:rsid w:val="001D07F4"/>
    <w:rsid w:val="001D70D0"/>
    <w:rsid w:val="001E23FE"/>
    <w:rsid w:val="001F7E0C"/>
    <w:rsid w:val="00204727"/>
    <w:rsid w:val="00205B43"/>
    <w:rsid w:val="00206158"/>
    <w:rsid w:val="002173B3"/>
    <w:rsid w:val="002221FF"/>
    <w:rsid w:val="002234B8"/>
    <w:rsid w:val="002268B0"/>
    <w:rsid w:val="002328B8"/>
    <w:rsid w:val="002344F4"/>
    <w:rsid w:val="0023563B"/>
    <w:rsid w:val="00235F6A"/>
    <w:rsid w:val="002366B4"/>
    <w:rsid w:val="00240FFC"/>
    <w:rsid w:val="00242048"/>
    <w:rsid w:val="00242793"/>
    <w:rsid w:val="002479C3"/>
    <w:rsid w:val="002567E6"/>
    <w:rsid w:val="002574A1"/>
    <w:rsid w:val="00260D5E"/>
    <w:rsid w:val="00261B8B"/>
    <w:rsid w:val="00262B0E"/>
    <w:rsid w:val="0026640A"/>
    <w:rsid w:val="0027510A"/>
    <w:rsid w:val="002860A8"/>
    <w:rsid w:val="00286390"/>
    <w:rsid w:val="002940A3"/>
    <w:rsid w:val="002942DC"/>
    <w:rsid w:val="002A0C9C"/>
    <w:rsid w:val="002A3309"/>
    <w:rsid w:val="002A6F50"/>
    <w:rsid w:val="002B27FA"/>
    <w:rsid w:val="002B2E09"/>
    <w:rsid w:val="002B64D0"/>
    <w:rsid w:val="002B6691"/>
    <w:rsid w:val="002C25CA"/>
    <w:rsid w:val="002C37AE"/>
    <w:rsid w:val="002C4E6B"/>
    <w:rsid w:val="002C6048"/>
    <w:rsid w:val="002D0083"/>
    <w:rsid w:val="002D0431"/>
    <w:rsid w:val="002D2ED2"/>
    <w:rsid w:val="002D3CB0"/>
    <w:rsid w:val="002D4647"/>
    <w:rsid w:val="002E2A51"/>
    <w:rsid w:val="002F3E0F"/>
    <w:rsid w:val="00306A2B"/>
    <w:rsid w:val="00307D73"/>
    <w:rsid w:val="00311747"/>
    <w:rsid w:val="00315853"/>
    <w:rsid w:val="00317042"/>
    <w:rsid w:val="00322020"/>
    <w:rsid w:val="00322D23"/>
    <w:rsid w:val="003253E6"/>
    <w:rsid w:val="0032695A"/>
    <w:rsid w:val="00326A86"/>
    <w:rsid w:val="00331044"/>
    <w:rsid w:val="00332949"/>
    <w:rsid w:val="00343150"/>
    <w:rsid w:val="00343725"/>
    <w:rsid w:val="00343A17"/>
    <w:rsid w:val="003465B1"/>
    <w:rsid w:val="00354097"/>
    <w:rsid w:val="003546A4"/>
    <w:rsid w:val="003546F7"/>
    <w:rsid w:val="0035594A"/>
    <w:rsid w:val="00362D46"/>
    <w:rsid w:val="00363661"/>
    <w:rsid w:val="00364CED"/>
    <w:rsid w:val="00367B5C"/>
    <w:rsid w:val="003775A3"/>
    <w:rsid w:val="003859E7"/>
    <w:rsid w:val="003A0979"/>
    <w:rsid w:val="003A2595"/>
    <w:rsid w:val="003A6AD2"/>
    <w:rsid w:val="003A7AD0"/>
    <w:rsid w:val="003B11A8"/>
    <w:rsid w:val="003B3DCA"/>
    <w:rsid w:val="003C006D"/>
    <w:rsid w:val="003C078D"/>
    <w:rsid w:val="003C44AE"/>
    <w:rsid w:val="003D5DC9"/>
    <w:rsid w:val="003D733E"/>
    <w:rsid w:val="003E2E27"/>
    <w:rsid w:val="003E4E63"/>
    <w:rsid w:val="003E506C"/>
    <w:rsid w:val="003F03D6"/>
    <w:rsid w:val="003F170F"/>
    <w:rsid w:val="003F2CE9"/>
    <w:rsid w:val="003F30F7"/>
    <w:rsid w:val="003F6867"/>
    <w:rsid w:val="003F6E6F"/>
    <w:rsid w:val="003F72AA"/>
    <w:rsid w:val="003F742E"/>
    <w:rsid w:val="00402018"/>
    <w:rsid w:val="00405E1F"/>
    <w:rsid w:val="00406D42"/>
    <w:rsid w:val="00411AD4"/>
    <w:rsid w:val="00414DFD"/>
    <w:rsid w:val="00432BC8"/>
    <w:rsid w:val="004335E1"/>
    <w:rsid w:val="00444217"/>
    <w:rsid w:val="00444FFB"/>
    <w:rsid w:val="00452807"/>
    <w:rsid w:val="00455EAB"/>
    <w:rsid w:val="004565B3"/>
    <w:rsid w:val="00463CE6"/>
    <w:rsid w:val="00464463"/>
    <w:rsid w:val="00470C02"/>
    <w:rsid w:val="004723FB"/>
    <w:rsid w:val="00473778"/>
    <w:rsid w:val="004740C2"/>
    <w:rsid w:val="00480E48"/>
    <w:rsid w:val="00482673"/>
    <w:rsid w:val="00490557"/>
    <w:rsid w:val="00493B9B"/>
    <w:rsid w:val="0049547D"/>
    <w:rsid w:val="004A426D"/>
    <w:rsid w:val="004A4684"/>
    <w:rsid w:val="004A7AC5"/>
    <w:rsid w:val="004B1326"/>
    <w:rsid w:val="004B40DF"/>
    <w:rsid w:val="004C164D"/>
    <w:rsid w:val="004D186F"/>
    <w:rsid w:val="004D3A87"/>
    <w:rsid w:val="004F009A"/>
    <w:rsid w:val="004F7E72"/>
    <w:rsid w:val="00503730"/>
    <w:rsid w:val="00511ED3"/>
    <w:rsid w:val="00512507"/>
    <w:rsid w:val="00517074"/>
    <w:rsid w:val="00524688"/>
    <w:rsid w:val="00526774"/>
    <w:rsid w:val="00534116"/>
    <w:rsid w:val="00534BC1"/>
    <w:rsid w:val="005354FA"/>
    <w:rsid w:val="00540EB7"/>
    <w:rsid w:val="00544752"/>
    <w:rsid w:val="00545ABF"/>
    <w:rsid w:val="005477FA"/>
    <w:rsid w:val="00560F4F"/>
    <w:rsid w:val="0056237E"/>
    <w:rsid w:val="00565F16"/>
    <w:rsid w:val="00572285"/>
    <w:rsid w:val="00582757"/>
    <w:rsid w:val="00592146"/>
    <w:rsid w:val="0059614A"/>
    <w:rsid w:val="005976BD"/>
    <w:rsid w:val="005A3374"/>
    <w:rsid w:val="005A5F4A"/>
    <w:rsid w:val="005A68D6"/>
    <w:rsid w:val="005B17A7"/>
    <w:rsid w:val="005B62EC"/>
    <w:rsid w:val="005B7469"/>
    <w:rsid w:val="005B77C6"/>
    <w:rsid w:val="005C503B"/>
    <w:rsid w:val="005D23EC"/>
    <w:rsid w:val="005D2AFD"/>
    <w:rsid w:val="005E6782"/>
    <w:rsid w:val="005F46C4"/>
    <w:rsid w:val="005F5194"/>
    <w:rsid w:val="005F657B"/>
    <w:rsid w:val="00602340"/>
    <w:rsid w:val="00603B0B"/>
    <w:rsid w:val="00610F5B"/>
    <w:rsid w:val="00614876"/>
    <w:rsid w:val="006174A2"/>
    <w:rsid w:val="0062084F"/>
    <w:rsid w:val="006209FA"/>
    <w:rsid w:val="0062110D"/>
    <w:rsid w:val="00623765"/>
    <w:rsid w:val="0063392C"/>
    <w:rsid w:val="00642A33"/>
    <w:rsid w:val="006526AE"/>
    <w:rsid w:val="00657320"/>
    <w:rsid w:val="00660F87"/>
    <w:rsid w:val="006673E3"/>
    <w:rsid w:val="006848A5"/>
    <w:rsid w:val="0068526F"/>
    <w:rsid w:val="0069347B"/>
    <w:rsid w:val="006974BF"/>
    <w:rsid w:val="0069758A"/>
    <w:rsid w:val="006A0069"/>
    <w:rsid w:val="006A2A73"/>
    <w:rsid w:val="006A5B29"/>
    <w:rsid w:val="006B5367"/>
    <w:rsid w:val="006B56E0"/>
    <w:rsid w:val="006B5C3B"/>
    <w:rsid w:val="006B6F71"/>
    <w:rsid w:val="006C1EBC"/>
    <w:rsid w:val="006C21D1"/>
    <w:rsid w:val="006C4964"/>
    <w:rsid w:val="006C5D20"/>
    <w:rsid w:val="006D11E0"/>
    <w:rsid w:val="006E5481"/>
    <w:rsid w:val="006E6F14"/>
    <w:rsid w:val="006E7E52"/>
    <w:rsid w:val="006F6EB1"/>
    <w:rsid w:val="006F7805"/>
    <w:rsid w:val="007010C7"/>
    <w:rsid w:val="00702EA2"/>
    <w:rsid w:val="00703ACA"/>
    <w:rsid w:val="00707826"/>
    <w:rsid w:val="00707B16"/>
    <w:rsid w:val="00722569"/>
    <w:rsid w:val="00725255"/>
    <w:rsid w:val="00727579"/>
    <w:rsid w:val="0074044D"/>
    <w:rsid w:val="0075189C"/>
    <w:rsid w:val="00763924"/>
    <w:rsid w:val="007650AB"/>
    <w:rsid w:val="00765B2E"/>
    <w:rsid w:val="00776D2A"/>
    <w:rsid w:val="0077722D"/>
    <w:rsid w:val="007810E5"/>
    <w:rsid w:val="00785209"/>
    <w:rsid w:val="00792C26"/>
    <w:rsid w:val="00795C19"/>
    <w:rsid w:val="007A32A7"/>
    <w:rsid w:val="007A4178"/>
    <w:rsid w:val="007A5CEF"/>
    <w:rsid w:val="007A62A6"/>
    <w:rsid w:val="007A72FD"/>
    <w:rsid w:val="007B44EA"/>
    <w:rsid w:val="007B49D3"/>
    <w:rsid w:val="007C1A56"/>
    <w:rsid w:val="007C26CA"/>
    <w:rsid w:val="007D26EB"/>
    <w:rsid w:val="007D3550"/>
    <w:rsid w:val="007E4DE0"/>
    <w:rsid w:val="007E4E33"/>
    <w:rsid w:val="007F4B2B"/>
    <w:rsid w:val="007F6F3F"/>
    <w:rsid w:val="008028F1"/>
    <w:rsid w:val="008123E0"/>
    <w:rsid w:val="00813BDE"/>
    <w:rsid w:val="008202F3"/>
    <w:rsid w:val="00823273"/>
    <w:rsid w:val="00823B06"/>
    <w:rsid w:val="00834366"/>
    <w:rsid w:val="00837FA8"/>
    <w:rsid w:val="00841847"/>
    <w:rsid w:val="00842990"/>
    <w:rsid w:val="00843D63"/>
    <w:rsid w:val="00845C94"/>
    <w:rsid w:val="00846709"/>
    <w:rsid w:val="00847A81"/>
    <w:rsid w:val="008571C9"/>
    <w:rsid w:val="00865209"/>
    <w:rsid w:val="00874639"/>
    <w:rsid w:val="00877999"/>
    <w:rsid w:val="00880352"/>
    <w:rsid w:val="00883AD4"/>
    <w:rsid w:val="00884F81"/>
    <w:rsid w:val="00885B08"/>
    <w:rsid w:val="00891CBA"/>
    <w:rsid w:val="008929F2"/>
    <w:rsid w:val="00893BDD"/>
    <w:rsid w:val="008963E9"/>
    <w:rsid w:val="008B37D5"/>
    <w:rsid w:val="008B5094"/>
    <w:rsid w:val="008B5B21"/>
    <w:rsid w:val="008B6ACB"/>
    <w:rsid w:val="008C1996"/>
    <w:rsid w:val="008C50BB"/>
    <w:rsid w:val="008D435A"/>
    <w:rsid w:val="008D6098"/>
    <w:rsid w:val="008D6DA6"/>
    <w:rsid w:val="008E1F15"/>
    <w:rsid w:val="008E3277"/>
    <w:rsid w:val="008E3CCA"/>
    <w:rsid w:val="008E6E65"/>
    <w:rsid w:val="008F625B"/>
    <w:rsid w:val="00913969"/>
    <w:rsid w:val="00915085"/>
    <w:rsid w:val="009202CA"/>
    <w:rsid w:val="0092205C"/>
    <w:rsid w:val="00922436"/>
    <w:rsid w:val="00923709"/>
    <w:rsid w:val="009265C8"/>
    <w:rsid w:val="009304C1"/>
    <w:rsid w:val="00931B65"/>
    <w:rsid w:val="00932A94"/>
    <w:rsid w:val="00933B24"/>
    <w:rsid w:val="009354AE"/>
    <w:rsid w:val="00935D8B"/>
    <w:rsid w:val="00935F2F"/>
    <w:rsid w:val="009368AE"/>
    <w:rsid w:val="009413CE"/>
    <w:rsid w:val="00951FF7"/>
    <w:rsid w:val="009531D0"/>
    <w:rsid w:val="00955701"/>
    <w:rsid w:val="009600B6"/>
    <w:rsid w:val="009606CB"/>
    <w:rsid w:val="00960B8D"/>
    <w:rsid w:val="00961387"/>
    <w:rsid w:val="00965E4B"/>
    <w:rsid w:val="00971D9B"/>
    <w:rsid w:val="00973ED4"/>
    <w:rsid w:val="00983421"/>
    <w:rsid w:val="00984A22"/>
    <w:rsid w:val="0098784F"/>
    <w:rsid w:val="0098789F"/>
    <w:rsid w:val="0099043E"/>
    <w:rsid w:val="009939F1"/>
    <w:rsid w:val="009962EB"/>
    <w:rsid w:val="00997A50"/>
    <w:rsid w:val="009A15A0"/>
    <w:rsid w:val="009A32C8"/>
    <w:rsid w:val="009A508D"/>
    <w:rsid w:val="009B3898"/>
    <w:rsid w:val="009B588A"/>
    <w:rsid w:val="009C0BB6"/>
    <w:rsid w:val="009C0E98"/>
    <w:rsid w:val="009C20FD"/>
    <w:rsid w:val="009C36BC"/>
    <w:rsid w:val="009C3F93"/>
    <w:rsid w:val="009C565B"/>
    <w:rsid w:val="009C6727"/>
    <w:rsid w:val="009E48D6"/>
    <w:rsid w:val="009F0983"/>
    <w:rsid w:val="009F3888"/>
    <w:rsid w:val="009F504A"/>
    <w:rsid w:val="009F58C1"/>
    <w:rsid w:val="00A02009"/>
    <w:rsid w:val="00A07F2B"/>
    <w:rsid w:val="00A158E3"/>
    <w:rsid w:val="00A16C89"/>
    <w:rsid w:val="00A217B4"/>
    <w:rsid w:val="00A246A3"/>
    <w:rsid w:val="00A31969"/>
    <w:rsid w:val="00A3371B"/>
    <w:rsid w:val="00A33BB8"/>
    <w:rsid w:val="00A37CD7"/>
    <w:rsid w:val="00A420FE"/>
    <w:rsid w:val="00A45952"/>
    <w:rsid w:val="00A52443"/>
    <w:rsid w:val="00A53410"/>
    <w:rsid w:val="00A556BA"/>
    <w:rsid w:val="00A60973"/>
    <w:rsid w:val="00A67DC6"/>
    <w:rsid w:val="00A70BF9"/>
    <w:rsid w:val="00A70DEA"/>
    <w:rsid w:val="00A73990"/>
    <w:rsid w:val="00A76355"/>
    <w:rsid w:val="00A83DC7"/>
    <w:rsid w:val="00A91C0A"/>
    <w:rsid w:val="00A9476D"/>
    <w:rsid w:val="00AA1AAE"/>
    <w:rsid w:val="00AB0D0E"/>
    <w:rsid w:val="00AB0D30"/>
    <w:rsid w:val="00AB5D8A"/>
    <w:rsid w:val="00AB6C28"/>
    <w:rsid w:val="00AC1863"/>
    <w:rsid w:val="00AC7192"/>
    <w:rsid w:val="00AD14DE"/>
    <w:rsid w:val="00AD3EA4"/>
    <w:rsid w:val="00AD5F92"/>
    <w:rsid w:val="00AE1CD7"/>
    <w:rsid w:val="00AE45E0"/>
    <w:rsid w:val="00AE59FE"/>
    <w:rsid w:val="00AF0663"/>
    <w:rsid w:val="00AF0AD2"/>
    <w:rsid w:val="00AF1F58"/>
    <w:rsid w:val="00AF6B7F"/>
    <w:rsid w:val="00B10107"/>
    <w:rsid w:val="00B15F2E"/>
    <w:rsid w:val="00B25323"/>
    <w:rsid w:val="00B355E7"/>
    <w:rsid w:val="00B474D3"/>
    <w:rsid w:val="00B546A2"/>
    <w:rsid w:val="00B56288"/>
    <w:rsid w:val="00B61D67"/>
    <w:rsid w:val="00B633C8"/>
    <w:rsid w:val="00B71033"/>
    <w:rsid w:val="00B77670"/>
    <w:rsid w:val="00B77F39"/>
    <w:rsid w:val="00B80EB0"/>
    <w:rsid w:val="00B87825"/>
    <w:rsid w:val="00B900D5"/>
    <w:rsid w:val="00B90C3B"/>
    <w:rsid w:val="00B923C7"/>
    <w:rsid w:val="00BA615C"/>
    <w:rsid w:val="00BB235B"/>
    <w:rsid w:val="00BC1A8D"/>
    <w:rsid w:val="00BC2B6A"/>
    <w:rsid w:val="00BD1DEE"/>
    <w:rsid w:val="00BE5D94"/>
    <w:rsid w:val="00BF0C27"/>
    <w:rsid w:val="00BF0FBC"/>
    <w:rsid w:val="00BF1924"/>
    <w:rsid w:val="00BF46DF"/>
    <w:rsid w:val="00BF695B"/>
    <w:rsid w:val="00C01AF0"/>
    <w:rsid w:val="00C04E4F"/>
    <w:rsid w:val="00C07C87"/>
    <w:rsid w:val="00C12E70"/>
    <w:rsid w:val="00C1382C"/>
    <w:rsid w:val="00C156B0"/>
    <w:rsid w:val="00C24A46"/>
    <w:rsid w:val="00C25404"/>
    <w:rsid w:val="00C30D7A"/>
    <w:rsid w:val="00C42A39"/>
    <w:rsid w:val="00C475A1"/>
    <w:rsid w:val="00C553BA"/>
    <w:rsid w:val="00C553F3"/>
    <w:rsid w:val="00C65FA9"/>
    <w:rsid w:val="00C668AC"/>
    <w:rsid w:val="00C72BB2"/>
    <w:rsid w:val="00C73677"/>
    <w:rsid w:val="00C83597"/>
    <w:rsid w:val="00C84EDD"/>
    <w:rsid w:val="00C8542A"/>
    <w:rsid w:val="00C86DB5"/>
    <w:rsid w:val="00C94AAE"/>
    <w:rsid w:val="00CB5345"/>
    <w:rsid w:val="00CB5933"/>
    <w:rsid w:val="00CB6C2D"/>
    <w:rsid w:val="00CB73E6"/>
    <w:rsid w:val="00CB7B9D"/>
    <w:rsid w:val="00CC4C9F"/>
    <w:rsid w:val="00CD3864"/>
    <w:rsid w:val="00CD420C"/>
    <w:rsid w:val="00CE1C45"/>
    <w:rsid w:val="00CE3393"/>
    <w:rsid w:val="00CE3C87"/>
    <w:rsid w:val="00CE79AF"/>
    <w:rsid w:val="00D02707"/>
    <w:rsid w:val="00D14B64"/>
    <w:rsid w:val="00D15123"/>
    <w:rsid w:val="00D152C4"/>
    <w:rsid w:val="00D1709D"/>
    <w:rsid w:val="00D17C4F"/>
    <w:rsid w:val="00D200B9"/>
    <w:rsid w:val="00D214F9"/>
    <w:rsid w:val="00D21C0C"/>
    <w:rsid w:val="00D271ED"/>
    <w:rsid w:val="00D30BC2"/>
    <w:rsid w:val="00D34822"/>
    <w:rsid w:val="00D40210"/>
    <w:rsid w:val="00D41684"/>
    <w:rsid w:val="00D42029"/>
    <w:rsid w:val="00D449C8"/>
    <w:rsid w:val="00D50B7D"/>
    <w:rsid w:val="00D51CE6"/>
    <w:rsid w:val="00D5567B"/>
    <w:rsid w:val="00D63F3F"/>
    <w:rsid w:val="00D668C5"/>
    <w:rsid w:val="00D66AAB"/>
    <w:rsid w:val="00D71D65"/>
    <w:rsid w:val="00D8233F"/>
    <w:rsid w:val="00D82D0C"/>
    <w:rsid w:val="00DA4D2C"/>
    <w:rsid w:val="00DB1B66"/>
    <w:rsid w:val="00DB4862"/>
    <w:rsid w:val="00DC737D"/>
    <w:rsid w:val="00DC7D52"/>
    <w:rsid w:val="00DD165E"/>
    <w:rsid w:val="00DD18B4"/>
    <w:rsid w:val="00DD671C"/>
    <w:rsid w:val="00DD6D29"/>
    <w:rsid w:val="00DF3768"/>
    <w:rsid w:val="00DF4559"/>
    <w:rsid w:val="00E032A6"/>
    <w:rsid w:val="00E03D80"/>
    <w:rsid w:val="00E03D9F"/>
    <w:rsid w:val="00E1144C"/>
    <w:rsid w:val="00E12620"/>
    <w:rsid w:val="00E12E88"/>
    <w:rsid w:val="00E23BCF"/>
    <w:rsid w:val="00E2717D"/>
    <w:rsid w:val="00E33FCE"/>
    <w:rsid w:val="00E40EA0"/>
    <w:rsid w:val="00E45A56"/>
    <w:rsid w:val="00E5058E"/>
    <w:rsid w:val="00E57E5B"/>
    <w:rsid w:val="00E6687B"/>
    <w:rsid w:val="00E76F8C"/>
    <w:rsid w:val="00E77425"/>
    <w:rsid w:val="00E82A30"/>
    <w:rsid w:val="00E87AB6"/>
    <w:rsid w:val="00EA3775"/>
    <w:rsid w:val="00EB0D57"/>
    <w:rsid w:val="00EB3D4B"/>
    <w:rsid w:val="00EB5BF7"/>
    <w:rsid w:val="00EB7482"/>
    <w:rsid w:val="00EC5958"/>
    <w:rsid w:val="00EC5A43"/>
    <w:rsid w:val="00EC5F9E"/>
    <w:rsid w:val="00EC7FE9"/>
    <w:rsid w:val="00EE08A3"/>
    <w:rsid w:val="00EE7CC8"/>
    <w:rsid w:val="00EF11A6"/>
    <w:rsid w:val="00F000CE"/>
    <w:rsid w:val="00F030F6"/>
    <w:rsid w:val="00F055F8"/>
    <w:rsid w:val="00F06C86"/>
    <w:rsid w:val="00F06FE7"/>
    <w:rsid w:val="00F104F4"/>
    <w:rsid w:val="00F1157D"/>
    <w:rsid w:val="00F12C87"/>
    <w:rsid w:val="00F142A4"/>
    <w:rsid w:val="00F213FC"/>
    <w:rsid w:val="00F21D74"/>
    <w:rsid w:val="00F21E34"/>
    <w:rsid w:val="00F2266E"/>
    <w:rsid w:val="00F25C24"/>
    <w:rsid w:val="00F42C2D"/>
    <w:rsid w:val="00F475B2"/>
    <w:rsid w:val="00F75299"/>
    <w:rsid w:val="00F816D3"/>
    <w:rsid w:val="00F82D23"/>
    <w:rsid w:val="00F84AEB"/>
    <w:rsid w:val="00F87FB1"/>
    <w:rsid w:val="00F91FB0"/>
    <w:rsid w:val="00F94F66"/>
    <w:rsid w:val="00FA00B3"/>
    <w:rsid w:val="00FA090B"/>
    <w:rsid w:val="00FA3781"/>
    <w:rsid w:val="00FA5A9E"/>
    <w:rsid w:val="00FA7710"/>
    <w:rsid w:val="00FB29AD"/>
    <w:rsid w:val="00FB6358"/>
    <w:rsid w:val="00FC0468"/>
    <w:rsid w:val="00FC0E3B"/>
    <w:rsid w:val="00FC70CB"/>
    <w:rsid w:val="00FD211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0F8BD-EFD2-476B-A284-F477E5DDD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888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446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68AC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253E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084F"/>
  </w:style>
  <w:style w:type="paragraph" w:styleId="Podnoje">
    <w:name w:val="footer"/>
    <w:basedOn w:val="Normal"/>
    <w:link w:val="Podno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084F"/>
  </w:style>
  <w:style w:type="paragraph" w:customStyle="1" w:styleId="Default">
    <w:name w:val="Default"/>
    <w:rsid w:val="008E3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b-na16">
    <w:name w:val="tb-na16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unhideWhenUsed/>
    <w:rsid w:val="00326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326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Istaknuto">
    <w:name w:val="Emphasis"/>
    <w:basedOn w:val="Zadanifontodlomka"/>
    <w:uiPriority w:val="20"/>
    <w:qFormat/>
    <w:rsid w:val="0032695A"/>
    <w:rPr>
      <w:i/>
      <w:iCs/>
    </w:rPr>
  </w:style>
  <w:style w:type="paragraph" w:styleId="Tijeloteksta">
    <w:name w:val="Body Text"/>
    <w:basedOn w:val="Normal"/>
    <w:link w:val="TijelotekstaChar"/>
    <w:rsid w:val="0032695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32695A"/>
    <w:rPr>
      <w:rFonts w:ascii="Arial" w:eastAsia="SimSu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4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9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4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53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224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4679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55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78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21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3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26785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5945325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4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8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7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9429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0716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67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873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123385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18360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1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07887-F579-4A18-ABAB-F187FA04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Nataša Orešković Križnjak</dc:creator>
  <cp:lastModifiedBy>Tomislav</cp:lastModifiedBy>
  <cp:revision>2</cp:revision>
  <cp:lastPrinted>2016-09-21T10:58:00Z</cp:lastPrinted>
  <dcterms:created xsi:type="dcterms:W3CDTF">2025-11-17T12:25:00Z</dcterms:created>
  <dcterms:modified xsi:type="dcterms:W3CDTF">2025-11-17T12:25:00Z</dcterms:modified>
</cp:coreProperties>
</file>